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2F720A">
        <w:rPr>
          <w:rFonts w:ascii="Times New Roman" w:hAnsi="Times New Roman" w:cs="Times New Roman"/>
          <w:b/>
        </w:rPr>
        <w:t>13</w:t>
      </w:r>
      <w:r>
        <w:rPr>
          <w:rFonts w:ascii="Times New Roman" w:hAnsi="Times New Roman" w:cs="Times New Roman"/>
          <w:b/>
        </w:rPr>
        <w:t>.0</w:t>
      </w:r>
      <w:r w:rsidR="00A92CA4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27.90.33.110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27.33.11.140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Выключатели и переключатели неавтоматические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27.90.12.130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 изоляционные для электропроводки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27.11.42.000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Трансформаторы прочие мощностью не более 16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кВА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22.21.29.120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Трубки, шланги и рукава прочие пластмассовые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Изоляторы электрические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27.12.22.000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Выключатели автоматические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3A6676" w:rsidRPr="00DF6E52" w:rsidTr="00A612C9">
        <w:tc>
          <w:tcPr>
            <w:tcW w:w="4785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27.51.25.110</w:t>
            </w:r>
          </w:p>
        </w:tc>
        <w:tc>
          <w:tcPr>
            <w:tcW w:w="4786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3A6676">
              <w:rPr>
                <w:rFonts w:ascii="Times New Roman" w:hAnsi="Times New Roman" w:cs="Times New Roman"/>
              </w:rPr>
              <w:t>Водонагреватели проточные и накопительные электрические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27.32.13.111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Кабели силовые с медной жилой на напряжение до 1 </w:t>
            </w:r>
            <w:proofErr w:type="spellStart"/>
            <w:r w:rsidRPr="00DF6E52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27.32.11.000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Провода обмоточные изолированные  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27.32.13.143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контрольные</w:t>
            </w:r>
          </w:p>
        </w:tc>
      </w:tr>
      <w:tr w:rsidR="00DF6E52" w:rsidRPr="00DF6E52" w:rsidTr="00A612C9">
        <w:trPr>
          <w:trHeight w:val="507"/>
        </w:trPr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27.32.13.191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монтажные</w:t>
            </w:r>
          </w:p>
        </w:tc>
      </w:tr>
      <w:tr w:rsidR="00A92CA4" w:rsidRPr="00DF6E52" w:rsidTr="00A612C9">
        <w:trPr>
          <w:trHeight w:val="507"/>
        </w:trPr>
        <w:tc>
          <w:tcPr>
            <w:tcW w:w="4785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A92CA4">
              <w:rPr>
                <w:rFonts w:ascii="Times New Roman" w:hAnsi="Times New Roman" w:cs="Times New Roman"/>
              </w:rPr>
              <w:t xml:space="preserve">Кабели силовые с алюминиевой жилой на напряжение до 1 </w:t>
            </w:r>
            <w:proofErr w:type="spellStart"/>
            <w:r w:rsidRPr="00A92CA4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2F720A" w:rsidRPr="00DF6E52" w:rsidTr="00A612C9">
        <w:trPr>
          <w:trHeight w:val="507"/>
        </w:trPr>
        <w:tc>
          <w:tcPr>
            <w:tcW w:w="4785" w:type="dxa"/>
          </w:tcPr>
          <w:p w:rsidR="002F720A" w:rsidRDefault="002F720A" w:rsidP="00A612C9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 w:colFirst="0" w:colLast="1"/>
            <w:r>
              <w:rPr>
                <w:rFonts w:ascii="Times New Roman" w:hAnsi="Times New Roman" w:cs="Times New Roman"/>
              </w:rPr>
              <w:t>17.12.14.119</w:t>
            </w:r>
          </w:p>
        </w:tc>
        <w:tc>
          <w:tcPr>
            <w:tcW w:w="4786" w:type="dxa"/>
          </w:tcPr>
          <w:p w:rsidR="002F720A" w:rsidRPr="00A92CA4" w:rsidRDefault="002F720A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2F720A">
              <w:rPr>
                <w:rFonts w:ascii="Times New Roman" w:hAnsi="Times New Roman" w:cs="Times New Roman"/>
              </w:rPr>
              <w:t>Бумага для печати прочая</w:t>
            </w:r>
          </w:p>
        </w:tc>
      </w:tr>
      <w:bookmarkEnd w:id="0"/>
    </w:tbl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2F720A"/>
    <w:rsid w:val="003453DB"/>
    <w:rsid w:val="003A6676"/>
    <w:rsid w:val="003D0AB1"/>
    <w:rsid w:val="00567752"/>
    <w:rsid w:val="007D4A39"/>
    <w:rsid w:val="00A92CA4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6</cp:revision>
  <dcterms:created xsi:type="dcterms:W3CDTF">2019-02-19T06:41:00Z</dcterms:created>
  <dcterms:modified xsi:type="dcterms:W3CDTF">2019-03-13T04:58:00Z</dcterms:modified>
</cp:coreProperties>
</file>